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A" w:rsidRDefault="00A0047A">
      <w:pPr>
        <w:rPr>
          <w:rFonts w:ascii="Arial" w:eastAsia="Times New Roman" w:hAnsi="Arial" w:cs="Arial"/>
          <w:b/>
          <w:sz w:val="20"/>
          <w:szCs w:val="20"/>
          <w:lang w:eastAsia="it-IT"/>
        </w:rPr>
      </w:pPr>
      <w:bookmarkStart w:id="0" w:name="_GoBack"/>
      <w:bookmarkEnd w:id="0"/>
    </w:p>
    <w:p w:rsidR="00AD44B8" w:rsidRPr="00550D2F" w:rsidRDefault="00AD44B8" w:rsidP="000B467C">
      <w:pPr>
        <w:autoSpaceDE w:val="0"/>
        <w:autoSpaceDN w:val="0"/>
        <w:adjustRightInd w:val="0"/>
        <w:spacing w:after="120" w:line="240" w:lineRule="auto"/>
        <w:ind w:right="-141"/>
        <w:jc w:val="center"/>
        <w:rPr>
          <w:rFonts w:eastAsia="Times New Roman" w:cstheme="minorHAnsi"/>
          <w:b/>
          <w:lang w:eastAsia="it-IT"/>
        </w:rPr>
      </w:pPr>
      <w:r w:rsidRPr="000B467C">
        <w:rPr>
          <w:rFonts w:eastAsia="Times New Roman" w:cstheme="minorHAnsi"/>
          <w:b/>
          <w:sz w:val="32"/>
          <w:szCs w:val="32"/>
          <w:lang w:eastAsia="it-IT"/>
        </w:rPr>
        <w:t>VACCINOVIGILANZA</w:t>
      </w:r>
    </w:p>
    <w:p w:rsidR="000B467C" w:rsidRPr="00DF368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>COSA È</w: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lang w:eastAsia="it-IT"/>
        </w:rPr>
      </w:pPr>
      <w:r w:rsidRPr="00550D2F">
        <w:rPr>
          <w:rFonts w:eastAsia="Times New Roman" w:cstheme="minorHAnsi"/>
          <w:lang w:eastAsia="it-IT"/>
        </w:rPr>
        <w:t xml:space="preserve">La sicurezza e l’efficacia di un farmaco sono definite durante le fasi di sperimentazione </w:t>
      </w:r>
      <w:r w:rsidRPr="00550D2F">
        <w:rPr>
          <w:rFonts w:eastAsia="Times New Roman" w:cstheme="minorHAnsi"/>
          <w:i/>
          <w:lang w:eastAsia="it-IT"/>
        </w:rPr>
        <w:t>pre-marketing</w:t>
      </w:r>
      <w:r w:rsidRPr="00550D2F">
        <w:rPr>
          <w:rFonts w:eastAsia="Times New Roman" w:cstheme="minorHAnsi"/>
          <w:lang w:eastAsia="it-IT"/>
        </w:rPr>
        <w:t>, ma esse, a causa delle loro intrinseche caratteristiche (studi condotti in centri specializzati, durata limitata nel tempo e limitato numero di soggetti coinvolti,</w:t>
      </w:r>
      <w:r>
        <w:rPr>
          <w:rFonts w:eastAsia="Times New Roman" w:cstheme="minorHAnsi"/>
          <w:lang w:eastAsia="it-IT"/>
        </w:rPr>
        <w:t xml:space="preserve"> attenta</w:t>
      </w:r>
      <w:r w:rsidRPr="00550D2F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scelta</w:t>
      </w:r>
      <w:r w:rsidRPr="00550D2F">
        <w:rPr>
          <w:rFonts w:eastAsia="Times New Roman" w:cstheme="minorHAnsi"/>
          <w:lang w:eastAsia="it-IT"/>
        </w:rPr>
        <w:t xml:space="preserve"> e monitoraggio dei soggetti,</w:t>
      </w:r>
      <w:r>
        <w:rPr>
          <w:rFonts w:eastAsia="Times New Roman" w:cstheme="minorHAnsi"/>
          <w:lang w:eastAsia="it-IT"/>
        </w:rPr>
        <w:t xml:space="preserve"> </w:t>
      </w:r>
      <w:r w:rsidRPr="00550D2F">
        <w:rPr>
          <w:rFonts w:eastAsia="Times New Roman" w:cstheme="minorHAnsi"/>
          <w:lang w:eastAsia="it-IT"/>
        </w:rPr>
        <w:t>…) non permettono di valutare in modo completo il profilo rischio-beneficio di un farmaco nelle reali condizioni di u</w:t>
      </w:r>
      <w:r>
        <w:rPr>
          <w:rFonts w:eastAsia="Times New Roman" w:cstheme="minorHAnsi"/>
          <w:lang w:eastAsia="it-IT"/>
        </w:rPr>
        <w:t>tilizz</w:t>
      </w:r>
      <w:r w:rsidRPr="00550D2F">
        <w:rPr>
          <w:rFonts w:eastAsia="Times New Roman" w:cstheme="minorHAnsi"/>
          <w:lang w:eastAsia="it-IT"/>
        </w:rPr>
        <w:t>o.</w: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cstheme="minorHAnsi"/>
          <w:i/>
          <w:color w:val="000000"/>
        </w:rPr>
      </w:pPr>
      <w:r w:rsidRPr="00550D2F">
        <w:rPr>
          <w:rFonts w:eastAsia="Times New Roman" w:cstheme="minorHAnsi"/>
          <w:lang w:eastAsia="it-IT"/>
        </w:rPr>
        <w:t xml:space="preserve">La Farmacovigilanza è l’insieme delle attività finalizzate all'identificazione, valutazione, comprensione e prevenzione degli effetti avversi o di qualsiasi altro problema correlato all'uso dei medicinali, al fine di assicurare un rapporto beneficio/rischio favorevole per la popolazione. In tale ambito, la </w:t>
      </w:r>
      <w:r w:rsidRPr="00550D2F">
        <w:rPr>
          <w:rFonts w:eastAsia="Times New Roman" w:cstheme="minorHAnsi"/>
          <w:i/>
          <w:lang w:eastAsia="it-IT"/>
        </w:rPr>
        <w:t>Vaccinovigilanza si occupa della raccolta, valutazione, analisi e comunicazione degli eventi avversi che possono insorgere dopo l'immunizzazione </w:t>
      </w:r>
      <w:r w:rsidRPr="00550D2F">
        <w:rPr>
          <w:rFonts w:cstheme="minorHAnsi"/>
          <w:i/>
          <w:color w:val="000000"/>
        </w:rPr>
        <w:t xml:space="preserve">(AEFI, </w:t>
      </w:r>
      <w:r w:rsidRPr="00550D2F">
        <w:rPr>
          <w:rFonts w:cstheme="minorHAnsi"/>
          <w:i/>
          <w:iCs/>
          <w:color w:val="000000"/>
        </w:rPr>
        <w:t>Adverse Event Following Immunization</w:t>
      </w:r>
      <w:r w:rsidRPr="00550D2F">
        <w:rPr>
          <w:rFonts w:cstheme="minorHAnsi"/>
          <w:i/>
          <w:color w:val="000000"/>
        </w:rPr>
        <w:t>).</w: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lang w:eastAsia="it-IT"/>
        </w:rPr>
      </w:pPr>
      <w:r w:rsidRPr="00550D2F">
        <w:rPr>
          <w:rFonts w:eastAsia="Times New Roman" w:cstheme="minorHAnsi"/>
          <w:lang w:eastAsia="it-IT"/>
        </w:rPr>
        <w:t>Esse, quindi, permettono</w:t>
      </w:r>
      <w:r w:rsidRPr="00550D2F">
        <w:rPr>
          <w:rFonts w:eastAsia="Times New Roman" w:cstheme="minorHAnsi"/>
          <w:b/>
          <w:lang w:eastAsia="it-IT"/>
        </w:rPr>
        <w:t xml:space="preserve"> di controllare costantemente efficacia e tollerabilità</w:t>
      </w:r>
      <w:r w:rsidRPr="00550D2F">
        <w:rPr>
          <w:rFonts w:cstheme="minorHAnsi"/>
          <w:b/>
          <w:color w:val="000000"/>
        </w:rPr>
        <w:t xml:space="preserve"> per garantire </w:t>
      </w:r>
      <w:r w:rsidRPr="00550D2F">
        <w:rPr>
          <w:rFonts w:eastAsia="Times New Roman" w:cstheme="minorHAnsi"/>
          <w:b/>
          <w:lang w:eastAsia="it-IT"/>
        </w:rPr>
        <w:t>l’uso sicuro di farmaci e vaccini</w:t>
      </w:r>
      <w:r w:rsidRPr="00550D2F">
        <w:rPr>
          <w:rFonts w:eastAsia="Times New Roman" w:cstheme="minorHAnsi"/>
          <w:lang w:eastAsia="it-IT"/>
        </w:rPr>
        <w:t>.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</w:rPr>
      </w:pPr>
      <w:r w:rsidRPr="00550D2F">
        <w:rPr>
          <w:rFonts w:eastAsia="Times New Roman" w:cstheme="minorHAnsi"/>
          <w:lang w:eastAsia="it-IT"/>
        </w:rPr>
        <w:t xml:space="preserve">L'attività principale della Vaccinovigilanza è rappresentata dalla </w:t>
      </w:r>
      <w:r w:rsidRPr="00550D2F">
        <w:rPr>
          <w:rFonts w:eastAsia="Times New Roman" w:cstheme="minorHAnsi"/>
          <w:b/>
          <w:bCs/>
          <w:lang w:eastAsia="it-IT"/>
        </w:rPr>
        <w:t>segnalazione spontanea</w:t>
      </w:r>
      <w:r w:rsidRPr="00550D2F">
        <w:rPr>
          <w:rFonts w:eastAsia="Times New Roman" w:cstheme="minorHAnsi"/>
          <w:lang w:eastAsia="it-IT"/>
        </w:rPr>
        <w:t xml:space="preserve"> </w:t>
      </w:r>
      <w:r w:rsidRPr="00550D2F">
        <w:rPr>
          <w:rFonts w:eastAsia="Times New Roman" w:cstheme="minorHAnsi"/>
          <w:b/>
          <w:lang w:eastAsia="it-IT"/>
        </w:rPr>
        <w:t xml:space="preserve">degli eventi avversi dopo vaccinazione, </w:t>
      </w:r>
      <w:r w:rsidRPr="00550D2F">
        <w:rPr>
          <w:rFonts w:eastAsia="Times New Roman" w:cstheme="minorHAnsi"/>
          <w:lang w:eastAsia="it-IT"/>
        </w:rPr>
        <w:t xml:space="preserve">che rappresenta un metodo semplice, economico </w:t>
      </w:r>
      <w:r w:rsidRPr="00550D2F">
        <w:rPr>
          <w:rFonts w:cstheme="minorHAnsi"/>
        </w:rPr>
        <w:t>ed efficace per la ridefinizione del profilo terapeutico di un vaccino.</w: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b/>
          <w:lang w:eastAsia="it-IT"/>
        </w:rPr>
      </w:pPr>
    </w:p>
    <w:p w:rsidR="000B467C" w:rsidRPr="00DF368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>PERCHÉ È IMPORTANTE SEGNALARE</w:t>
      </w:r>
    </w:p>
    <w:p w:rsidR="000B467C" w:rsidRDefault="000B467C" w:rsidP="000B467C">
      <w:pPr>
        <w:autoSpaceDE w:val="0"/>
        <w:autoSpaceDN w:val="0"/>
        <w:adjustRightInd w:val="0"/>
        <w:spacing w:after="120" w:line="240" w:lineRule="auto"/>
        <w:ind w:right="-142"/>
        <w:jc w:val="both"/>
        <w:rPr>
          <w:rFonts w:eastAsia="Times New Roman" w:cstheme="minorHAnsi"/>
          <w:lang w:eastAsia="it-IT"/>
        </w:rPr>
      </w:pPr>
      <w:r w:rsidRPr="00550D2F">
        <w:rPr>
          <w:rFonts w:eastAsia="Times New Roman" w:cstheme="minorHAnsi"/>
          <w:lang w:eastAsia="it-IT"/>
        </w:rPr>
        <w:t xml:space="preserve">Le segnalazioni contribuiscono a fornire </w:t>
      </w:r>
      <w:r w:rsidRPr="00550D2F">
        <w:rPr>
          <w:rFonts w:eastAsia="Times New Roman" w:cstheme="minorHAnsi"/>
          <w:b/>
          <w:lang w:eastAsia="it-IT"/>
        </w:rPr>
        <w:t>potenziali segnali precoci di allarme</w:t>
      </w:r>
      <w:r w:rsidRPr="00550D2F">
        <w:rPr>
          <w:rFonts w:eastAsia="Times New Roman" w:cstheme="minorHAnsi"/>
          <w:lang w:eastAsia="it-IT"/>
        </w:rPr>
        <w:t xml:space="preserve">, </w:t>
      </w:r>
      <w:r w:rsidRPr="00550D2F">
        <w:rPr>
          <w:rFonts w:cstheme="minorHAnsi"/>
          <w:color w:val="000000"/>
        </w:rPr>
        <w:t xml:space="preserve">non rilevati durante le fasi di sperimentazione pre-commercializzazione, </w:t>
      </w:r>
      <w:r w:rsidRPr="00550D2F">
        <w:rPr>
          <w:rFonts w:eastAsia="Times New Roman" w:cstheme="minorHAnsi"/>
          <w:lang w:eastAsia="it-IT"/>
        </w:rPr>
        <w:t>che necessitano di approfondimento, mediante studi specifici, per essere smentiti o confermati e quantificati in termini di rischio.</w:t>
      </w:r>
      <w:r>
        <w:rPr>
          <w:rFonts w:eastAsia="Times New Roman" w:cstheme="minorHAnsi"/>
          <w:lang w:eastAsia="it-IT"/>
        </w:rPr>
        <w:t xml:space="preserve"> 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È utile ricordare che:</w:t>
      </w:r>
    </w:p>
    <w:p w:rsidR="000B467C" w:rsidRPr="00550D2F" w:rsidRDefault="000B467C" w:rsidP="000B46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right="-141" w:hanging="294"/>
        <w:contextualSpacing w:val="0"/>
        <w:jc w:val="both"/>
        <w:rPr>
          <w:rFonts w:cstheme="minorHAnsi"/>
          <w:color w:val="000000"/>
        </w:rPr>
      </w:pPr>
      <w:r w:rsidRPr="00550D2F">
        <w:rPr>
          <w:rFonts w:eastAsia="Wingdings-Regular" w:cstheme="minorHAnsi"/>
          <w:color w:val="000000"/>
        </w:rPr>
        <w:t>una segnalazione completa di tutti i dati disponibili (</w:t>
      </w:r>
      <w:r w:rsidRPr="00550D2F">
        <w:rPr>
          <w:rFonts w:eastAsia="Wingdings-Regular" w:cstheme="minorHAnsi"/>
          <w:b/>
          <w:color w:val="000000"/>
        </w:rPr>
        <w:t>qualità</w:t>
      </w:r>
      <w:r w:rsidRPr="00550D2F">
        <w:rPr>
          <w:rFonts w:eastAsia="Wingdings-Regular" w:cstheme="minorHAnsi"/>
          <w:color w:val="000000"/>
        </w:rPr>
        <w:t xml:space="preserve"> della segnalazione) </w:t>
      </w:r>
      <w:r w:rsidRPr="00550D2F">
        <w:rPr>
          <w:rFonts w:cstheme="minorHAnsi"/>
          <w:color w:val="000000"/>
        </w:rPr>
        <w:t>consente la valutazione del nesso di causalità tra la reazione avversa e il vaccino sospetto;</w:t>
      </w:r>
    </w:p>
    <w:p w:rsidR="000B467C" w:rsidRPr="00550D2F" w:rsidRDefault="000B467C" w:rsidP="000B46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right="-141" w:hanging="294"/>
        <w:contextualSpacing w:val="0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tali valutazioni possono</w:t>
      </w:r>
      <w:r w:rsidRPr="00550D2F">
        <w:rPr>
          <w:rFonts w:eastAsia="Times New Roman" w:cstheme="minorHAnsi"/>
          <w:lang w:eastAsia="it-IT"/>
        </w:rPr>
        <w:t xml:space="preserve"> essere effettuate solo a livello dei Centri delle autorità regolatorie nazionali e internazionali, con specifiche metodologie farmacoepidemiologiche, ed a tal fine è indispensabile </w:t>
      </w:r>
      <w:r w:rsidRPr="00550D2F">
        <w:rPr>
          <w:rFonts w:cstheme="minorHAnsi"/>
          <w:color w:val="000000"/>
        </w:rPr>
        <w:t xml:space="preserve">disporre del maggior numero di segnalazioni (ad es. per </w:t>
      </w:r>
      <w:r w:rsidRPr="00550D2F">
        <w:rPr>
          <w:rFonts w:eastAsia="Times New Roman" w:cstheme="minorHAnsi"/>
          <w:lang w:eastAsia="it-IT"/>
        </w:rPr>
        <w:t>valutare anche AEFI molto rare che non possono essere adeguatamente studiate usando i dati derivanti da un campione selezionato).</w:t>
      </w:r>
    </w:p>
    <w:p w:rsidR="000B467C" w:rsidRPr="00550D2F" w:rsidRDefault="000B467C" w:rsidP="000B46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-141" w:hanging="294"/>
        <w:jc w:val="both"/>
        <w:rPr>
          <w:rFonts w:eastAsia="Times New Roman" w:cstheme="minorHAnsi"/>
          <w:lang w:eastAsia="it-IT"/>
        </w:rPr>
      </w:pPr>
      <w:r w:rsidRPr="00550D2F">
        <w:rPr>
          <w:rFonts w:cstheme="minorHAnsi"/>
          <w:color w:val="000000"/>
        </w:rPr>
        <w:t xml:space="preserve">è quindi </w:t>
      </w:r>
      <w:r w:rsidRPr="00550D2F">
        <w:rPr>
          <w:rFonts w:cstheme="minorHAnsi"/>
          <w:b/>
          <w:color w:val="000000"/>
          <w:u w:val="single"/>
        </w:rPr>
        <w:t>importante segnalare sempre</w:t>
      </w:r>
      <w:r w:rsidRPr="00550D2F">
        <w:rPr>
          <w:rFonts w:cstheme="minorHAnsi"/>
          <w:b/>
          <w:color w:val="000000"/>
        </w:rPr>
        <w:t xml:space="preserve"> </w:t>
      </w:r>
      <w:r w:rsidRPr="00550D2F">
        <w:rPr>
          <w:rFonts w:eastAsia="Times New Roman" w:cstheme="minorHAnsi"/>
          <w:b/>
          <w:lang w:eastAsia="it-IT"/>
        </w:rPr>
        <w:t>una sospetta reazione avversa</w:t>
      </w:r>
      <w:r w:rsidRPr="00550D2F">
        <w:rPr>
          <w:rFonts w:eastAsia="Times New Roman" w:cstheme="minorHAnsi"/>
          <w:lang w:eastAsia="it-IT"/>
        </w:rPr>
        <w:t xml:space="preserve"> insorta dopo vaccinazione.</w:t>
      </w:r>
    </w:p>
    <w:p w:rsidR="000B467C" w:rsidRPr="00550D2F" w:rsidRDefault="000B467C" w:rsidP="000B467C">
      <w:pPr>
        <w:pStyle w:val="Paragrafoelenco"/>
        <w:autoSpaceDE w:val="0"/>
        <w:autoSpaceDN w:val="0"/>
        <w:adjustRightInd w:val="0"/>
        <w:spacing w:after="0" w:line="240" w:lineRule="auto"/>
        <w:ind w:left="425" w:right="-142"/>
        <w:contextualSpacing w:val="0"/>
        <w:jc w:val="both"/>
        <w:rPr>
          <w:rFonts w:eastAsia="Times New Roman" w:cstheme="minorHAnsi"/>
          <w:lang w:eastAsia="it-IT"/>
        </w:rPr>
      </w:pPr>
    </w:p>
    <w:p w:rsidR="000B467C" w:rsidRPr="00550D2F" w:rsidRDefault="00AE1A83" w:rsidP="000B467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 w:cstheme="minorHAnsi"/>
          <w:b/>
          <w:lang w:eastAsia="it-IT"/>
        </w:rPr>
      </w:pPr>
      <w:r>
        <w:rPr>
          <w:rFonts w:cstheme="minorHAnsi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102235</wp:posOffset>
                </wp:positionV>
                <wp:extent cx="6686550" cy="2465070"/>
                <wp:effectExtent l="0" t="0" r="19050" b="11430"/>
                <wp:wrapNone/>
                <wp:docPr id="1" name="Rettangolo con angoli arrotondat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24650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con angoli arrotondati 4" o:spid="_x0000_s1026" style="position:absolute;margin-left:-23.7pt;margin-top:8.05pt;width:526.5pt;height:19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" filled="f" strokecolor="black [3213]" strokeweight="1pt">
                <v:stroke joinstyle="miter"/>
                <v:path arrowok="t"/>
              </v:roundrect>
            </w:pict>
          </mc:Fallback>
        </mc:AlternateConten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cstheme="minorHAnsi"/>
          <w:color w:val="000000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>CHI PUÒ SEGNALARE</w:t>
      </w:r>
      <w:r w:rsidRPr="00550D2F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7944D5">
        <w:rPr>
          <w:rFonts w:eastAsia="Times New Roman" w:cstheme="minorHAnsi"/>
          <w:b/>
          <w:sz w:val="24"/>
          <w:szCs w:val="24"/>
          <w:lang w:eastAsia="it-IT"/>
        </w:rPr>
        <w:sym w:font="Wingdings" w:char="F0E0"/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7944D5">
        <w:rPr>
          <w:rFonts w:eastAsia="Times New Roman" w:cstheme="minorHAnsi"/>
          <w:sz w:val="24"/>
          <w:szCs w:val="24"/>
          <w:lang w:eastAsia="it-IT"/>
        </w:rPr>
        <w:t>Operatori</w:t>
      </w:r>
      <w:r w:rsidRPr="007944D5">
        <w:rPr>
          <w:rFonts w:cstheme="minorHAnsi"/>
          <w:color w:val="000000"/>
          <w:sz w:val="24"/>
          <w:szCs w:val="24"/>
        </w:rPr>
        <w:t xml:space="preserve"> sanitari e Cittadini</w:t>
      </w:r>
      <w:r w:rsidRPr="00550D2F">
        <w:rPr>
          <w:rFonts w:cstheme="minorHAnsi"/>
          <w:color w:val="000000"/>
        </w:rPr>
        <w:t xml:space="preserve"> 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eastAsia="Times New Roman" w:cstheme="minorHAnsi"/>
          <w:b/>
          <w:lang w:eastAsia="it-IT"/>
        </w:rPr>
      </w:pPr>
    </w:p>
    <w:p w:rsidR="000B467C" w:rsidRPr="00DF368F" w:rsidRDefault="000B467C" w:rsidP="000B467C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 xml:space="preserve">COSA SEGNALARE </w:t>
      </w:r>
    </w:p>
    <w:p w:rsidR="000B467C" w:rsidRPr="00CE711A" w:rsidRDefault="000B467C" w:rsidP="000B467C">
      <w:pPr>
        <w:autoSpaceDE w:val="0"/>
        <w:autoSpaceDN w:val="0"/>
        <w:adjustRightInd w:val="0"/>
        <w:spacing w:after="60" w:line="240" w:lineRule="auto"/>
        <w:ind w:right="-141"/>
        <w:jc w:val="both"/>
        <w:rPr>
          <w:rFonts w:eastAsia="Times New Roman" w:cstheme="minorHAnsi"/>
          <w:lang w:eastAsia="it-IT"/>
        </w:rPr>
      </w:pPr>
      <w:r w:rsidRPr="00CE711A">
        <w:rPr>
          <w:rFonts w:eastAsia="Times New Roman" w:cstheme="minorHAnsi"/>
          <w:lang w:eastAsia="it-IT"/>
        </w:rPr>
        <w:t xml:space="preserve">Un evento avverso successivo all'immunizzazione (AEFI) è </w:t>
      </w:r>
      <w:r w:rsidRPr="00CE711A">
        <w:rPr>
          <w:rFonts w:eastAsia="Times New Roman" w:cstheme="minorHAnsi"/>
          <w:b/>
          <w:lang w:eastAsia="it-IT"/>
        </w:rPr>
        <w:t>qualsiasi evento medico indesiderato</w:t>
      </w:r>
      <w:r w:rsidRPr="00CE711A">
        <w:rPr>
          <w:rFonts w:eastAsia="Times New Roman" w:cstheme="minorHAnsi"/>
          <w:lang w:eastAsia="it-IT"/>
        </w:rPr>
        <w:t xml:space="preserve"> </w:t>
      </w:r>
      <w:r w:rsidRPr="00CE711A">
        <w:rPr>
          <w:rFonts w:eastAsia="Times New Roman" w:cstheme="minorHAnsi"/>
          <w:b/>
          <w:lang w:eastAsia="it-IT"/>
        </w:rPr>
        <w:t>che segue l'immunizzazione e che non ha necessariamente una relazione causale con l'uso del vaccino</w:t>
      </w:r>
      <w:r w:rsidRPr="00CE711A">
        <w:rPr>
          <w:rFonts w:eastAsia="Times New Roman" w:cstheme="minorHAnsi"/>
          <w:lang w:eastAsia="it-IT"/>
        </w:rPr>
        <w:t>. L'evento avverso può essere qualsiasi segno sfavorevole o non intenzionale, reperto di laboratorio anormale, sintomo o malattia.</w:t>
      </w:r>
      <w:r w:rsidRPr="00550D2F">
        <w:rPr>
          <w:rFonts w:eastAsia="Times New Roman" w:cstheme="minorHAnsi"/>
          <w:lang w:eastAsia="it-IT"/>
        </w:rPr>
        <w:t xml:space="preserve"> </w:t>
      </w:r>
      <w:r w:rsidRPr="00CE711A">
        <w:rPr>
          <w:rFonts w:eastAsia="Times New Roman" w:cstheme="minorHAnsi"/>
          <w:lang w:eastAsia="it-IT"/>
        </w:rPr>
        <w:t>Gli AEFI sono raggruppati</w:t>
      </w:r>
      <w:r w:rsidRPr="00550D2F">
        <w:rPr>
          <w:rFonts w:eastAsia="Times New Roman" w:cstheme="minorHAnsi"/>
          <w:lang w:eastAsia="it-IT"/>
        </w:rPr>
        <w:t xml:space="preserve"> dall’OMS</w:t>
      </w:r>
      <w:r w:rsidRPr="00CE711A">
        <w:rPr>
          <w:rFonts w:eastAsia="Times New Roman" w:cstheme="minorHAnsi"/>
          <w:lang w:eastAsia="it-IT"/>
        </w:rPr>
        <w:t xml:space="preserve"> in cinque categorie</w:t>
      </w:r>
      <w:r w:rsidRPr="00550D2F">
        <w:rPr>
          <w:rFonts w:eastAsia="Times New Roman" w:cstheme="minorHAnsi"/>
          <w:lang w:eastAsia="it-IT"/>
        </w:rPr>
        <w:t>:</w:t>
      </w:r>
    </w:p>
    <w:p w:rsidR="000B467C" w:rsidRPr="00550D2F" w:rsidRDefault="000B467C" w:rsidP="000B467C">
      <w:pPr>
        <w:pStyle w:val="Paragrafoelenco"/>
        <w:numPr>
          <w:ilvl w:val="0"/>
          <w:numId w:val="10"/>
        </w:numPr>
        <w:spacing w:after="0" w:line="240" w:lineRule="auto"/>
        <w:ind w:left="567" w:right="-141" w:hanging="294"/>
        <w:rPr>
          <w:rFonts w:ascii="Arial" w:eastAsia="Times New Roman" w:hAnsi="Arial" w:cs="Arial"/>
          <w:sz w:val="20"/>
          <w:szCs w:val="20"/>
          <w:lang w:eastAsia="it-IT"/>
        </w:rPr>
      </w:pPr>
      <w:r w:rsidRPr="00550D2F">
        <w:rPr>
          <w:rFonts w:ascii="Arial" w:eastAsia="Times New Roman" w:hAnsi="Arial" w:cs="Arial"/>
          <w:sz w:val="20"/>
          <w:szCs w:val="20"/>
          <w:lang w:eastAsia="it-IT"/>
        </w:rPr>
        <w:t>evento correlato alle caratteristiche intrinseche del vaccino (es. reazioni locali, febbre, irritabilità, etc.)</w:t>
      </w:r>
    </w:p>
    <w:p w:rsidR="000B467C" w:rsidRPr="00550D2F" w:rsidRDefault="000B467C" w:rsidP="000B467C">
      <w:pPr>
        <w:pStyle w:val="Paragrafoelenco"/>
        <w:numPr>
          <w:ilvl w:val="0"/>
          <w:numId w:val="10"/>
        </w:numPr>
        <w:spacing w:after="0" w:line="240" w:lineRule="auto"/>
        <w:ind w:left="567" w:right="-141" w:hanging="294"/>
        <w:rPr>
          <w:rFonts w:ascii="Arial" w:eastAsia="Times New Roman" w:hAnsi="Arial" w:cs="Arial"/>
          <w:sz w:val="20"/>
          <w:szCs w:val="20"/>
          <w:lang w:eastAsia="it-IT"/>
        </w:rPr>
      </w:pPr>
      <w:r w:rsidRPr="00550D2F">
        <w:rPr>
          <w:rFonts w:ascii="Arial" w:eastAsia="Times New Roman" w:hAnsi="Arial" w:cs="Arial"/>
          <w:sz w:val="20"/>
          <w:szCs w:val="20"/>
          <w:lang w:eastAsia="it-IT"/>
        </w:rPr>
        <w:t xml:space="preserve">evento correlato al difetto di qualità del vaccino </w:t>
      </w:r>
    </w:p>
    <w:p w:rsidR="000B467C" w:rsidRPr="00550D2F" w:rsidRDefault="000B467C" w:rsidP="000B467C">
      <w:pPr>
        <w:pStyle w:val="Paragrafoelenco"/>
        <w:numPr>
          <w:ilvl w:val="0"/>
          <w:numId w:val="10"/>
        </w:numPr>
        <w:spacing w:after="0" w:line="240" w:lineRule="auto"/>
        <w:ind w:left="567" w:right="-141" w:hanging="294"/>
        <w:rPr>
          <w:rFonts w:ascii="Arial" w:eastAsia="Times New Roman" w:hAnsi="Arial" w:cs="Arial"/>
          <w:sz w:val="20"/>
          <w:szCs w:val="20"/>
          <w:lang w:eastAsia="it-IT"/>
        </w:rPr>
      </w:pPr>
      <w:r w:rsidRPr="00550D2F">
        <w:rPr>
          <w:rFonts w:ascii="Arial" w:eastAsia="Times New Roman" w:hAnsi="Arial" w:cs="Arial"/>
          <w:sz w:val="20"/>
          <w:szCs w:val="20"/>
          <w:lang w:eastAsia="it-IT"/>
        </w:rPr>
        <w:t xml:space="preserve">evento correlato all'errore di immunizzazione (es. </w:t>
      </w:r>
      <w:r w:rsidRPr="00550D2F">
        <w:rPr>
          <w:rFonts w:ascii="Arial" w:hAnsi="Arial" w:cs="Arial"/>
          <w:sz w:val="20"/>
          <w:szCs w:val="20"/>
        </w:rPr>
        <w:t>infezione per fiala multidose contaminata)</w:t>
      </w:r>
    </w:p>
    <w:p w:rsidR="000B467C" w:rsidRPr="00550D2F" w:rsidRDefault="000B467C" w:rsidP="000B467C">
      <w:pPr>
        <w:pStyle w:val="Paragrafoelenco"/>
        <w:numPr>
          <w:ilvl w:val="0"/>
          <w:numId w:val="10"/>
        </w:numPr>
        <w:spacing w:after="0" w:line="240" w:lineRule="auto"/>
        <w:ind w:left="567" w:right="-141" w:hanging="294"/>
        <w:rPr>
          <w:rFonts w:ascii="Arial" w:eastAsia="Times New Roman" w:hAnsi="Arial" w:cs="Arial"/>
          <w:sz w:val="20"/>
          <w:szCs w:val="20"/>
          <w:lang w:eastAsia="it-IT"/>
        </w:rPr>
      </w:pPr>
      <w:r w:rsidRPr="00550D2F">
        <w:rPr>
          <w:rFonts w:ascii="Arial" w:eastAsia="Times New Roman" w:hAnsi="Arial" w:cs="Arial"/>
          <w:sz w:val="20"/>
          <w:szCs w:val="20"/>
          <w:lang w:eastAsia="it-IT"/>
        </w:rPr>
        <w:t xml:space="preserve">evento correlato all'ansia da immunizzazione </w:t>
      </w:r>
    </w:p>
    <w:p w:rsidR="000B467C" w:rsidRPr="00550D2F" w:rsidRDefault="000B467C" w:rsidP="000B467C">
      <w:pPr>
        <w:pStyle w:val="Paragrafoelenco"/>
        <w:numPr>
          <w:ilvl w:val="0"/>
          <w:numId w:val="10"/>
        </w:numPr>
        <w:spacing w:after="0" w:line="240" w:lineRule="auto"/>
        <w:ind w:left="567" w:right="-141" w:hanging="294"/>
        <w:rPr>
          <w:rFonts w:ascii="Arial" w:eastAsia="Times New Roman" w:hAnsi="Arial" w:cs="Arial"/>
          <w:sz w:val="20"/>
          <w:szCs w:val="20"/>
          <w:lang w:eastAsia="it-IT"/>
        </w:rPr>
      </w:pPr>
      <w:r w:rsidRPr="00550D2F">
        <w:rPr>
          <w:rFonts w:ascii="Arial" w:eastAsia="Times New Roman" w:hAnsi="Arial" w:cs="Arial"/>
          <w:sz w:val="20"/>
          <w:szCs w:val="20"/>
          <w:lang w:eastAsia="it-IT"/>
        </w:rPr>
        <w:t xml:space="preserve">evento coincidente (es. </w:t>
      </w:r>
      <w:r w:rsidRPr="00550D2F">
        <w:rPr>
          <w:rFonts w:ascii="Arial" w:hAnsi="Arial" w:cs="Arial"/>
          <w:sz w:val="20"/>
          <w:szCs w:val="20"/>
        </w:rPr>
        <w:t>febbre al momento della vaccinazione, in realtà causata da altra patologia)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cstheme="minorHAnsi"/>
          <w:b/>
          <w:noProof/>
          <w:color w:val="000000"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6906895</wp:posOffset>
            </wp:positionH>
            <wp:positionV relativeFrom="paragraph">
              <wp:posOffset>-286385</wp:posOffset>
            </wp:positionV>
            <wp:extent cx="7722870" cy="7009765"/>
            <wp:effectExtent l="0" t="361950" r="0" b="362585"/>
            <wp:wrapNone/>
            <wp:docPr id="34" name="Immagin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22870" cy="700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color w:val="000000"/>
        </w:rPr>
      </w:pPr>
    </w:p>
    <w:p w:rsidR="00923776" w:rsidRDefault="00923776" w:rsidP="00DF368F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eastAsia="Times New Roman" w:cstheme="minorHAnsi"/>
          <w:b/>
          <w:sz w:val="28"/>
          <w:szCs w:val="28"/>
          <w:lang w:eastAsia="it-IT"/>
        </w:rPr>
      </w:pPr>
    </w:p>
    <w:p w:rsidR="000B467C" w:rsidRPr="00DF368F" w:rsidRDefault="00AE1A83" w:rsidP="00DF368F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>
        <w:rPr>
          <w:rFonts w:eastAsia="Times New Roman"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433705</wp:posOffset>
                </wp:positionH>
                <wp:positionV relativeFrom="paragraph">
                  <wp:posOffset>-182245</wp:posOffset>
                </wp:positionV>
                <wp:extent cx="6572250" cy="3178810"/>
                <wp:effectExtent l="0" t="0" r="19050" b="21590"/>
                <wp:wrapNone/>
                <wp:docPr id="13" name="Rettangolo con angoli arrotondat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31788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con angoli arrotondati 13" o:spid="_x0000_s1026" style="position:absolute;margin-left:34.15pt;margin-top:-14.35pt;width:517.5pt;height:25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" filled="f" strokecolor="black [3213]" strokeweight="1pt">
                <v:stroke joinstyle="miter"/>
                <v:path arrowok="t"/>
                <w10:wrap anchorx="page"/>
              </v:roundrect>
            </w:pict>
          </mc:Fallback>
        </mc:AlternateContent>
      </w:r>
      <w:r w:rsidR="000B467C" w:rsidRPr="00DF368F">
        <w:rPr>
          <w:rFonts w:eastAsia="Times New Roman" w:cstheme="minorHAnsi"/>
          <w:b/>
          <w:sz w:val="28"/>
          <w:szCs w:val="28"/>
          <w:lang w:eastAsia="it-IT"/>
        </w:rPr>
        <w:t>MODALITA’ DI SEGNALAZIONE</w:t>
      </w:r>
    </w:p>
    <w:p w:rsidR="000B467C" w:rsidRDefault="000B467C" w:rsidP="000B467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8" w:right="-141" w:hanging="284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88499D">
        <w:rPr>
          <w:rFonts w:cstheme="minorHAnsi"/>
          <w:b/>
          <w:color w:val="000000"/>
          <w:sz w:val="24"/>
          <w:szCs w:val="24"/>
        </w:rPr>
        <w:t>on-line (</w:t>
      </w:r>
      <w:r w:rsidRPr="0088499D">
        <w:rPr>
          <w:rFonts w:cstheme="minorHAnsi"/>
          <w:b/>
          <w:color w:val="000000"/>
          <w:sz w:val="24"/>
          <w:szCs w:val="24"/>
          <w:u w:val="single"/>
        </w:rPr>
        <w:t>preferibile</w:t>
      </w:r>
      <w:r w:rsidRPr="0088499D">
        <w:rPr>
          <w:rFonts w:cstheme="minorHAnsi"/>
          <w:b/>
          <w:color w:val="000000"/>
          <w:sz w:val="24"/>
          <w:szCs w:val="24"/>
        </w:rPr>
        <w:t>)</w:t>
      </w:r>
      <w:r w:rsidRPr="0088499D">
        <w:rPr>
          <w:rFonts w:cstheme="minorHAnsi"/>
          <w:color w:val="000000"/>
          <w:sz w:val="24"/>
          <w:szCs w:val="24"/>
        </w:rPr>
        <w:t xml:space="preserve"> </w:t>
      </w:r>
      <w:r w:rsidRPr="0088499D">
        <w:rPr>
          <w:rFonts w:cstheme="minorHAnsi"/>
          <w:b/>
          <w:color w:val="000000"/>
          <w:sz w:val="24"/>
          <w:szCs w:val="24"/>
        </w:rPr>
        <w:t xml:space="preserve">attraverso la piattaforma Vigifarmaco </w:t>
      </w:r>
      <w:r w:rsidR="00BC29C1" w:rsidRPr="0088499D">
        <w:rPr>
          <w:rFonts w:eastAsia="Times New Roman" w:cstheme="minorHAnsi"/>
          <w:b/>
          <w:sz w:val="24"/>
          <w:szCs w:val="24"/>
          <w:lang w:eastAsia="it-IT"/>
        </w:rPr>
        <w:t>di AIFA</w:t>
      </w:r>
      <w:r w:rsidR="00BC29C1">
        <w:t xml:space="preserve"> </w:t>
      </w:r>
      <w:hyperlink r:id="rId10" w:history="1">
        <w:r w:rsidRPr="0088499D">
          <w:rPr>
            <w:rStyle w:val="Collegamentoipertestuale"/>
            <w:rFonts w:cstheme="minorHAnsi"/>
            <w:b/>
            <w:sz w:val="24"/>
            <w:szCs w:val="24"/>
          </w:rPr>
          <w:t>www.vigifarmaco.it</w:t>
        </w:r>
      </w:hyperlink>
      <w:r w:rsidRPr="0088499D">
        <w:rPr>
          <w:rFonts w:cstheme="minorHAnsi"/>
          <w:b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88499D">
        <w:rPr>
          <w:rFonts w:cstheme="minorHAnsi"/>
          <w:color w:val="000000"/>
          <w:sz w:val="24"/>
          <w:szCs w:val="24"/>
        </w:rPr>
        <w:t xml:space="preserve">che agevola il segnalatore </w:t>
      </w:r>
      <w:r>
        <w:rPr>
          <w:rFonts w:cstheme="minorHAnsi"/>
          <w:color w:val="000000"/>
          <w:sz w:val="24"/>
          <w:szCs w:val="24"/>
        </w:rPr>
        <w:t xml:space="preserve">(operatore sanitario o cittadino) </w:t>
      </w:r>
      <w:r w:rsidRPr="0088499D">
        <w:rPr>
          <w:rFonts w:cstheme="minorHAnsi"/>
          <w:color w:val="000000"/>
          <w:sz w:val="24"/>
          <w:szCs w:val="24"/>
        </w:rPr>
        <w:t>nella compilazione della scheda di segnalazione</w:t>
      </w:r>
      <w:r w:rsidRPr="00550D2F">
        <w:rPr>
          <w:rFonts w:eastAsia="Times New Roman" w:cstheme="minorHAnsi"/>
          <w:lang w:eastAsia="it-IT"/>
        </w:rPr>
        <w:t>,</w:t>
      </w:r>
      <w:r w:rsidRPr="00550D2F">
        <w:rPr>
          <w:rFonts w:cstheme="minorHAnsi"/>
          <w:color w:val="000000"/>
        </w:rPr>
        <w:t xml:space="preserve"> </w:t>
      </w:r>
      <w:r w:rsidRPr="007944D5">
        <w:rPr>
          <w:rFonts w:cstheme="minorHAnsi"/>
          <w:color w:val="000000"/>
          <w:sz w:val="24"/>
          <w:szCs w:val="24"/>
        </w:rPr>
        <w:t>senza necessità di registrazione,</w:t>
      </w:r>
      <w:r>
        <w:rPr>
          <w:rFonts w:cstheme="minorHAnsi"/>
          <w:color w:val="000000"/>
        </w:rPr>
        <w:t xml:space="preserve"> </w:t>
      </w:r>
      <w:r w:rsidRPr="0088499D">
        <w:rPr>
          <w:rFonts w:cstheme="minorHAnsi"/>
          <w:color w:val="000000"/>
          <w:sz w:val="24"/>
          <w:szCs w:val="24"/>
        </w:rPr>
        <w:t xml:space="preserve">e la invia automaticamente al Responsabile aziendale di Farmacovigilanza </w:t>
      </w:r>
      <w:r>
        <w:rPr>
          <w:rFonts w:cstheme="minorHAnsi"/>
          <w:color w:val="000000"/>
          <w:sz w:val="24"/>
          <w:szCs w:val="24"/>
        </w:rPr>
        <w:t>dell’Azienda di riferimento;</w:t>
      </w:r>
    </w:p>
    <w:p w:rsidR="000B467C" w:rsidRPr="000B467C" w:rsidRDefault="000B467C" w:rsidP="000B467C">
      <w:pPr>
        <w:pStyle w:val="Paragrafoelenco"/>
        <w:numPr>
          <w:ilvl w:val="0"/>
          <w:numId w:val="7"/>
        </w:numPr>
        <w:spacing w:before="100" w:beforeAutospacing="1" w:after="120" w:afterAutospacing="1" w:line="240" w:lineRule="auto"/>
        <w:ind w:left="567" w:right="-142" w:hanging="284"/>
        <w:contextualSpacing w:val="0"/>
        <w:jc w:val="both"/>
        <w:rPr>
          <w:rFonts w:cstheme="minorHAnsi"/>
          <w:color w:val="000000"/>
        </w:rPr>
      </w:pPr>
      <w:r w:rsidRPr="000B467C">
        <w:rPr>
          <w:rFonts w:cstheme="minorHAnsi"/>
          <w:color w:val="000000"/>
        </w:rPr>
        <w:t xml:space="preserve">cartacea, tramite </w:t>
      </w:r>
      <w:r w:rsidRPr="000B467C">
        <w:rPr>
          <w:rFonts w:eastAsia="Times New Roman" w:cstheme="minorHAnsi"/>
          <w:bCs/>
          <w:lang w:eastAsia="it-IT"/>
        </w:rPr>
        <w:t>scheda di segnalazione</w:t>
      </w:r>
      <w:r w:rsidRPr="000B467C">
        <w:rPr>
          <w:rFonts w:eastAsia="Times New Roman" w:cstheme="minorHAnsi"/>
          <w:b/>
          <w:bCs/>
          <w:lang w:eastAsia="it-IT"/>
        </w:rPr>
        <w:t> </w:t>
      </w:r>
      <w:r w:rsidRPr="000B467C">
        <w:rPr>
          <w:rFonts w:eastAsia="Times New Roman" w:cstheme="minorHAnsi"/>
          <w:bCs/>
          <w:lang w:eastAsia="it-IT"/>
        </w:rPr>
        <w:t>per operatore sanitario oppure per cittadino</w:t>
      </w:r>
      <w:r w:rsidRPr="000B467C">
        <w:rPr>
          <w:rFonts w:eastAsia="Times New Roman" w:cstheme="minorHAnsi"/>
          <w:lang w:eastAsia="it-IT"/>
        </w:rPr>
        <w:t>, da compilare e inviare via email al Responsabile di Farmacovigilanza dell’Azienda di riferimento</w:t>
      </w:r>
      <w:r>
        <w:rPr>
          <w:rFonts w:eastAsia="Times New Roman" w:cstheme="minorHAnsi"/>
          <w:lang w:eastAsia="it-IT"/>
        </w:rPr>
        <w:t xml:space="preserve">. </w:t>
      </w:r>
      <w:r w:rsidRPr="000B467C">
        <w:rPr>
          <w:rFonts w:eastAsia="Times New Roman" w:cstheme="minorHAnsi"/>
          <w:lang w:eastAsia="it-IT"/>
        </w:rPr>
        <w:t xml:space="preserve">La scheda può essere scaricata </w:t>
      </w:r>
      <w:r w:rsidRPr="000B467C">
        <w:rPr>
          <w:rFonts w:cstheme="minorHAnsi"/>
          <w:color w:val="000000"/>
        </w:rPr>
        <w:t xml:space="preserve">dal sito AIFA </w:t>
      </w:r>
      <w:hyperlink r:id="rId11" w:history="1">
        <w:r w:rsidRPr="000B467C">
          <w:rPr>
            <w:rStyle w:val="Collegamentoipertestuale"/>
            <w:rFonts w:cstheme="minorHAnsi"/>
          </w:rPr>
          <w:t>https://www.aifa.gov.it/moduli-segnalazione-reazioni-avverse</w:t>
        </w:r>
      </w:hyperlink>
      <w:r w:rsidRPr="000B467C">
        <w:rPr>
          <w:rFonts w:cstheme="minorHAnsi"/>
          <w:color w:val="000000"/>
        </w:rPr>
        <w:t xml:space="preserve"> 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color w:val="000000"/>
        </w:rPr>
      </w:pPr>
      <w:r w:rsidRPr="00550D2F">
        <w:rPr>
          <w:rFonts w:eastAsia="Times New Roman" w:cstheme="minorHAnsi"/>
          <w:lang w:eastAsia="it-IT"/>
        </w:rPr>
        <w:t>Le segnalazioni confluiscono nel database della Rete Nazionale di Farmacovigilanza (RNF) di AIFA.</w:t>
      </w: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left="567" w:right="-141"/>
        <w:jc w:val="both"/>
        <w:rPr>
          <w:rFonts w:eastAsia="Times New Roman" w:cstheme="minorHAnsi"/>
          <w:b/>
          <w:lang w:eastAsia="it-IT"/>
        </w:rPr>
      </w:pPr>
    </w:p>
    <w:p w:rsidR="000B467C" w:rsidRPr="00550D2F" w:rsidRDefault="000B467C" w:rsidP="00DF368F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cstheme="minorHAnsi"/>
          <w:b/>
          <w:color w:val="000000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>TEMPISTICA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 xml:space="preserve">Le segnalazioni devono essere </w:t>
      </w:r>
      <w:r w:rsidRPr="00550D2F">
        <w:rPr>
          <w:rFonts w:cstheme="minorHAnsi"/>
          <w:b/>
          <w:bCs/>
          <w:color w:val="000000"/>
        </w:rPr>
        <w:t xml:space="preserve">effettuate entro 36 ore </w:t>
      </w:r>
      <w:r w:rsidRPr="00550D2F">
        <w:rPr>
          <w:rFonts w:cstheme="minorHAnsi"/>
          <w:color w:val="000000"/>
        </w:rPr>
        <w:t>da quando l’operatore sanitario ne viene a conoscenza.</w:t>
      </w:r>
    </w:p>
    <w:p w:rsidR="000B467C" w:rsidRPr="00550D2F" w:rsidRDefault="000B467C" w:rsidP="000B467C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color w:val="000000"/>
        </w:rPr>
      </w:pPr>
    </w:p>
    <w:p w:rsidR="000B467C" w:rsidRPr="00550D2F" w:rsidRDefault="000B467C" w:rsidP="000B467C">
      <w:pPr>
        <w:autoSpaceDE w:val="0"/>
        <w:autoSpaceDN w:val="0"/>
        <w:adjustRightInd w:val="0"/>
        <w:spacing w:after="120" w:line="240" w:lineRule="auto"/>
        <w:ind w:right="-141"/>
        <w:jc w:val="both"/>
        <w:rPr>
          <w:rFonts w:eastAsia="Times New Roman" w:cstheme="minorHAnsi"/>
          <w:b/>
          <w:lang w:eastAsia="it-IT"/>
        </w:rPr>
      </w:pPr>
    </w:p>
    <w:p w:rsidR="000B467C" w:rsidRPr="00DF368F" w:rsidRDefault="000B467C" w:rsidP="00DF368F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>QUALITA’ DELLA SEGNALAZIONE</w:t>
      </w:r>
    </w:p>
    <w:p w:rsidR="000B467C" w:rsidRPr="00550D2F" w:rsidRDefault="000B467C" w:rsidP="000B467C">
      <w:pPr>
        <w:autoSpaceDE w:val="0"/>
        <w:autoSpaceDN w:val="0"/>
        <w:adjustRightInd w:val="0"/>
        <w:spacing w:after="80" w:line="240" w:lineRule="auto"/>
        <w:ind w:right="-142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È importante disporre di quante più informazioni possibili per mettere in condizione i Centri di valutare la correlazione fra reazione avversa e vaccino, pertanto è necessario inserire: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b/>
          <w:bCs/>
          <w:color w:val="000000"/>
        </w:rPr>
      </w:pPr>
      <w:r w:rsidRPr="00550D2F">
        <w:rPr>
          <w:rFonts w:cstheme="minorHAnsi"/>
          <w:b/>
          <w:bCs/>
          <w:color w:val="000000"/>
        </w:rPr>
        <w:t xml:space="preserve">numero di lotto e sua scadenza; 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b/>
          <w:bCs/>
          <w:color w:val="000000"/>
        </w:rPr>
      </w:pPr>
      <w:r w:rsidRPr="00550D2F">
        <w:rPr>
          <w:rFonts w:cstheme="minorHAnsi"/>
          <w:b/>
          <w:bCs/>
          <w:color w:val="000000"/>
        </w:rPr>
        <w:t>numero di dose ricevuta;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cstheme="minorHAnsi"/>
          <w:b/>
          <w:bCs/>
          <w:color w:val="000000"/>
        </w:rPr>
      </w:pPr>
      <w:r w:rsidRPr="00550D2F">
        <w:rPr>
          <w:rFonts w:cstheme="minorHAnsi"/>
          <w:b/>
          <w:bCs/>
          <w:color w:val="000000"/>
        </w:rPr>
        <w:t xml:space="preserve">data ed ora </w:t>
      </w:r>
      <w:r w:rsidRPr="00550D2F">
        <w:rPr>
          <w:rFonts w:cstheme="minorHAnsi"/>
          <w:bCs/>
          <w:color w:val="000000"/>
        </w:rPr>
        <w:t>di somministrazione;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bCs/>
          <w:color w:val="000000"/>
        </w:rPr>
        <w:t xml:space="preserve">sede </w:t>
      </w:r>
      <w:r w:rsidRPr="00550D2F">
        <w:rPr>
          <w:rFonts w:cstheme="minorHAnsi"/>
          <w:color w:val="000000"/>
        </w:rPr>
        <w:t>della somministrazione;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b/>
          <w:color w:val="000000"/>
        </w:rPr>
        <w:t>data di insorgenza</w:t>
      </w:r>
      <w:r w:rsidRPr="00550D2F">
        <w:rPr>
          <w:rFonts w:cstheme="minorHAnsi"/>
          <w:color w:val="000000"/>
        </w:rPr>
        <w:t xml:space="preserve"> della reazione avversa;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b/>
          <w:color w:val="000000"/>
        </w:rPr>
        <w:t>descrizione</w:t>
      </w:r>
      <w:r w:rsidRPr="00550D2F">
        <w:rPr>
          <w:rFonts w:cstheme="minorHAnsi"/>
          <w:color w:val="000000"/>
        </w:rPr>
        <w:t xml:space="preserve"> della reazione avversa ed eventuale diagnosi;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descrizione di eventuali problemi correlati alla somministrazione;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b/>
          <w:color w:val="000000"/>
        </w:rPr>
        <w:t>esito</w:t>
      </w:r>
      <w:r w:rsidRPr="00550D2F">
        <w:rPr>
          <w:rFonts w:cstheme="minorHAnsi"/>
          <w:color w:val="000000"/>
        </w:rPr>
        <w:t xml:space="preserve"> della reazione avversa;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gravità della reazione (non grave; grave);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eastAsia="Wingdings-Regular" w:cstheme="minorHAnsi"/>
          <w:color w:val="000000"/>
        </w:rPr>
        <w:t xml:space="preserve">eventuali </w:t>
      </w:r>
      <w:r w:rsidRPr="00550D2F">
        <w:rPr>
          <w:rFonts w:cstheme="minorHAnsi"/>
          <w:color w:val="000000"/>
        </w:rPr>
        <w:t>esami e dati di laboratorio;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presenza di patologie concomitanti o di condizioni predisponenti;</w:t>
      </w:r>
    </w:p>
    <w:p w:rsidR="000B467C" w:rsidRPr="00550D2F" w:rsidRDefault="000B467C" w:rsidP="000B46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0D2F">
        <w:rPr>
          <w:rFonts w:cstheme="minorHAnsi"/>
          <w:color w:val="000000"/>
        </w:rPr>
        <w:t>assunzione concomitante di farmaci o di altri prodotti.</w:t>
      </w:r>
    </w:p>
    <w:p w:rsidR="000B467C" w:rsidRDefault="000B467C" w:rsidP="000B467C">
      <w:pPr>
        <w:jc w:val="both"/>
        <w:rPr>
          <w:rFonts w:cstheme="minorHAnsi"/>
        </w:rPr>
      </w:pPr>
    </w:p>
    <w:p w:rsidR="00DF368F" w:rsidRPr="00550D2F" w:rsidRDefault="00DF368F" w:rsidP="000B467C">
      <w:pPr>
        <w:jc w:val="both"/>
        <w:rPr>
          <w:rFonts w:cstheme="minorHAnsi"/>
        </w:rPr>
      </w:pPr>
    </w:p>
    <w:p w:rsidR="000B467C" w:rsidRPr="007944D5" w:rsidRDefault="000B467C" w:rsidP="000B467C">
      <w:pP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C</w:t>
      </w:r>
      <w:r w:rsidRPr="007944D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ontatta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re</w:t>
      </w:r>
      <w:r w:rsidRPr="007944D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immediatamente il Medico curante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in caso di </w:t>
      </w:r>
      <w:r w:rsidRPr="007944D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qualsiasi effetto indesiderato non elencato nella Nota Informativa allegata al 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Modulo di Consenso Vaccinazione anti-COVID-19</w:t>
      </w:r>
      <w:r w:rsidRPr="007944D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.</w:t>
      </w:r>
    </w:p>
    <w:p w:rsidR="000B467C" w:rsidRDefault="000B467C" w:rsidP="000B467C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DF368F" w:rsidRDefault="00DF368F" w:rsidP="000B467C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EF3EE8" w:rsidRDefault="000B467C" w:rsidP="000B467C">
      <w:pPr>
        <w:autoSpaceDE w:val="0"/>
        <w:autoSpaceDN w:val="0"/>
        <w:adjustRightInd w:val="0"/>
        <w:spacing w:after="0" w:line="264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8499D">
        <w:rPr>
          <w:rFonts w:eastAsia="Times New Roman" w:cstheme="minorHAnsi"/>
          <w:b/>
          <w:sz w:val="24"/>
          <w:szCs w:val="24"/>
          <w:lang w:eastAsia="it-IT"/>
        </w:rPr>
        <w:t>Per ulteriori notizie ed istruzioni sulla segnalazione delle reazioni avverse: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:rsidR="000B467C" w:rsidRDefault="004E6000" w:rsidP="000B467C">
      <w:pPr>
        <w:autoSpaceDE w:val="0"/>
        <w:autoSpaceDN w:val="0"/>
        <w:adjustRightInd w:val="0"/>
        <w:spacing w:after="0" w:line="264" w:lineRule="auto"/>
        <w:jc w:val="center"/>
      </w:pPr>
      <w:hyperlink r:id="rId12" w:history="1">
        <w:r w:rsidR="000B467C" w:rsidRPr="0088499D">
          <w:rPr>
            <w:rStyle w:val="Collegamentoipertestuale"/>
            <w:rFonts w:eastAsia="Times New Roman" w:cstheme="minorHAnsi"/>
            <w:b/>
            <w:sz w:val="24"/>
            <w:szCs w:val="24"/>
            <w:lang w:eastAsia="it-IT"/>
          </w:rPr>
          <w:t>https://www.aifa.gov.it/content/segnalazioni-reazioni-avverse</w:t>
        </w:r>
      </w:hyperlink>
    </w:p>
    <w:p w:rsidR="000B467C" w:rsidRDefault="000B467C" w:rsidP="000B467C">
      <w:pPr>
        <w:autoSpaceDE w:val="0"/>
        <w:autoSpaceDN w:val="0"/>
        <w:adjustRightInd w:val="0"/>
        <w:spacing w:after="0" w:line="264" w:lineRule="auto"/>
        <w:jc w:val="center"/>
      </w:pPr>
    </w:p>
    <w:p w:rsidR="000B467C" w:rsidRDefault="000B467C" w:rsidP="000B467C">
      <w:pPr>
        <w:autoSpaceDE w:val="0"/>
        <w:autoSpaceDN w:val="0"/>
        <w:adjustRightInd w:val="0"/>
        <w:spacing w:after="0" w:line="264" w:lineRule="auto"/>
        <w:jc w:val="center"/>
      </w:pPr>
    </w:p>
    <w:p w:rsidR="000B467C" w:rsidRDefault="000B467C" w:rsidP="000B467C">
      <w:pPr>
        <w:autoSpaceDE w:val="0"/>
        <w:autoSpaceDN w:val="0"/>
        <w:adjustRightInd w:val="0"/>
        <w:spacing w:after="0" w:line="264" w:lineRule="auto"/>
        <w:jc w:val="center"/>
      </w:pPr>
    </w:p>
    <w:p w:rsidR="00136995" w:rsidRDefault="00136995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0B467C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0B467C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0B467C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0B467C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0B467C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0B467C" w:rsidRDefault="003E6E44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INSERIRE</w:t>
      </w:r>
    </w:p>
    <w:p w:rsidR="00136995" w:rsidRDefault="00136995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136995" w:rsidRPr="00DF368F" w:rsidRDefault="00136995" w:rsidP="00BD6AF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DF368F">
        <w:rPr>
          <w:rFonts w:eastAsia="Times New Roman" w:cstheme="minorHAnsi"/>
          <w:b/>
          <w:sz w:val="28"/>
          <w:szCs w:val="28"/>
          <w:lang w:eastAsia="it-IT"/>
        </w:rPr>
        <w:t xml:space="preserve">ELENCO </w:t>
      </w:r>
      <w:r w:rsidR="00BC29C1" w:rsidRPr="00DF368F">
        <w:rPr>
          <w:rFonts w:eastAsia="Times New Roman" w:cstheme="minorHAnsi"/>
          <w:b/>
          <w:sz w:val="28"/>
          <w:szCs w:val="28"/>
          <w:lang w:eastAsia="it-IT"/>
        </w:rPr>
        <w:t xml:space="preserve">E RECAPITI DEI </w:t>
      </w:r>
      <w:r w:rsidRPr="00DF368F">
        <w:rPr>
          <w:rFonts w:eastAsia="Times New Roman" w:cstheme="minorHAnsi"/>
          <w:b/>
          <w:sz w:val="28"/>
          <w:szCs w:val="28"/>
          <w:lang w:eastAsia="it-IT"/>
        </w:rPr>
        <w:t xml:space="preserve">RESPONSABILI AZIENDALI </w:t>
      </w:r>
      <w:r w:rsidR="00BC29C1" w:rsidRPr="00DF368F">
        <w:rPr>
          <w:rFonts w:eastAsia="Times New Roman" w:cstheme="minorHAnsi"/>
          <w:b/>
          <w:sz w:val="28"/>
          <w:szCs w:val="28"/>
          <w:lang w:eastAsia="it-IT"/>
        </w:rPr>
        <w:t xml:space="preserve">DI FARMACOVIGILANZA </w:t>
      </w:r>
    </w:p>
    <w:sectPr w:rsidR="00136995" w:rsidRPr="00DF368F" w:rsidSect="003E6E44">
      <w:headerReference w:type="default" r:id="rId13"/>
      <w:pgSz w:w="11906" w:h="16838"/>
      <w:pgMar w:top="1701" w:right="1276" w:bottom="99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09" w:rsidRDefault="00262309" w:rsidP="003457EC">
      <w:pPr>
        <w:spacing w:after="0" w:line="240" w:lineRule="auto"/>
      </w:pPr>
      <w:r>
        <w:separator/>
      </w:r>
    </w:p>
  </w:endnote>
  <w:endnote w:type="continuationSeparator" w:id="0">
    <w:p w:rsidR="00262309" w:rsidRDefault="00262309" w:rsidP="0034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09" w:rsidRDefault="00262309" w:rsidP="003457EC">
      <w:pPr>
        <w:spacing w:after="0" w:line="240" w:lineRule="auto"/>
      </w:pPr>
      <w:r>
        <w:separator/>
      </w:r>
    </w:p>
  </w:footnote>
  <w:footnote w:type="continuationSeparator" w:id="0">
    <w:p w:rsidR="00262309" w:rsidRDefault="00262309" w:rsidP="0034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EF" w:rsidRPr="00A41E9D" w:rsidRDefault="000B467C" w:rsidP="000B467C">
    <w:pPr>
      <w:widowControl w:val="0"/>
      <w:tabs>
        <w:tab w:val="left" w:pos="4687"/>
      </w:tabs>
      <w:spacing w:after="0" w:line="240" w:lineRule="auto"/>
      <w:ind w:left="-284"/>
      <w:jc w:val="center"/>
      <w:rPr>
        <w:rFonts w:ascii="Arial" w:hAnsi="Arial" w:cs="Arial"/>
        <w:sz w:val="20"/>
        <w:szCs w:val="20"/>
      </w:rPr>
    </w:pPr>
    <w:r w:rsidRPr="000B467C"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981165" cy="558920"/>
          <wp:effectExtent l="19050" t="19050" r="9685" b="12580"/>
          <wp:docPr id="4" name="Immagine 2" descr="CRF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CRFV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165" cy="558920"/>
                  </a:xfrm>
                  <a:prstGeom prst="rect">
                    <a:avLst/>
                  </a:prstGeom>
                  <a:noFill/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32EF" w:rsidRDefault="000B32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45E"/>
    <w:multiLevelType w:val="hybridMultilevel"/>
    <w:tmpl w:val="E70C4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9537F"/>
    <w:multiLevelType w:val="hybridMultilevel"/>
    <w:tmpl w:val="E8FA4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76702"/>
    <w:multiLevelType w:val="hybridMultilevel"/>
    <w:tmpl w:val="501CCDFC"/>
    <w:lvl w:ilvl="0" w:tplc="429EF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16AAD0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20D77"/>
    <w:multiLevelType w:val="multilevel"/>
    <w:tmpl w:val="998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71918"/>
    <w:multiLevelType w:val="multilevel"/>
    <w:tmpl w:val="A260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300C9"/>
    <w:multiLevelType w:val="multilevel"/>
    <w:tmpl w:val="A3F8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C373E"/>
    <w:multiLevelType w:val="hybridMultilevel"/>
    <w:tmpl w:val="F7B6A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A679F"/>
    <w:multiLevelType w:val="multilevel"/>
    <w:tmpl w:val="0D94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20505"/>
    <w:multiLevelType w:val="multilevel"/>
    <w:tmpl w:val="9AA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16174"/>
    <w:multiLevelType w:val="hybridMultilevel"/>
    <w:tmpl w:val="B1BE5C3C"/>
    <w:lvl w:ilvl="0" w:tplc="429EF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EE"/>
    <w:rsid w:val="000822C0"/>
    <w:rsid w:val="000B32EF"/>
    <w:rsid w:val="000B467C"/>
    <w:rsid w:val="000E1826"/>
    <w:rsid w:val="000E68FE"/>
    <w:rsid w:val="000E7B65"/>
    <w:rsid w:val="00113AD2"/>
    <w:rsid w:val="00136995"/>
    <w:rsid w:val="00162C98"/>
    <w:rsid w:val="00262309"/>
    <w:rsid w:val="003457EC"/>
    <w:rsid w:val="003C0426"/>
    <w:rsid w:val="003D5B79"/>
    <w:rsid w:val="003E6E44"/>
    <w:rsid w:val="004369AD"/>
    <w:rsid w:val="004B5C14"/>
    <w:rsid w:val="004C62A3"/>
    <w:rsid w:val="004D7A78"/>
    <w:rsid w:val="004E6000"/>
    <w:rsid w:val="004F64D7"/>
    <w:rsid w:val="00524CA8"/>
    <w:rsid w:val="00545031"/>
    <w:rsid w:val="00550D2F"/>
    <w:rsid w:val="005A18DC"/>
    <w:rsid w:val="005E3A67"/>
    <w:rsid w:val="005F1459"/>
    <w:rsid w:val="00644F93"/>
    <w:rsid w:val="006E0ECA"/>
    <w:rsid w:val="00734A25"/>
    <w:rsid w:val="00741FCE"/>
    <w:rsid w:val="00793FE5"/>
    <w:rsid w:val="007C6D6B"/>
    <w:rsid w:val="0083473C"/>
    <w:rsid w:val="00845E1C"/>
    <w:rsid w:val="0088499D"/>
    <w:rsid w:val="008A3513"/>
    <w:rsid w:val="008A5EF4"/>
    <w:rsid w:val="008B690A"/>
    <w:rsid w:val="008E6B36"/>
    <w:rsid w:val="00923776"/>
    <w:rsid w:val="0092528C"/>
    <w:rsid w:val="00A0047A"/>
    <w:rsid w:val="00A40231"/>
    <w:rsid w:val="00AD44B8"/>
    <w:rsid w:val="00AE1A83"/>
    <w:rsid w:val="00B13489"/>
    <w:rsid w:val="00B60859"/>
    <w:rsid w:val="00B64911"/>
    <w:rsid w:val="00BC29C1"/>
    <w:rsid w:val="00BD6AF2"/>
    <w:rsid w:val="00BF1821"/>
    <w:rsid w:val="00C50538"/>
    <w:rsid w:val="00C648D1"/>
    <w:rsid w:val="00CA45BA"/>
    <w:rsid w:val="00CB27B5"/>
    <w:rsid w:val="00CB6187"/>
    <w:rsid w:val="00CE3963"/>
    <w:rsid w:val="00CE711A"/>
    <w:rsid w:val="00CF4B8C"/>
    <w:rsid w:val="00D23883"/>
    <w:rsid w:val="00D253C0"/>
    <w:rsid w:val="00D56D96"/>
    <w:rsid w:val="00D62A05"/>
    <w:rsid w:val="00DA1364"/>
    <w:rsid w:val="00DA2730"/>
    <w:rsid w:val="00DF368F"/>
    <w:rsid w:val="00E26853"/>
    <w:rsid w:val="00E34F1D"/>
    <w:rsid w:val="00E664DC"/>
    <w:rsid w:val="00EE1520"/>
    <w:rsid w:val="00EF3EE8"/>
    <w:rsid w:val="00EF51EE"/>
    <w:rsid w:val="00F15C80"/>
    <w:rsid w:val="00F453BC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513"/>
  </w:style>
  <w:style w:type="paragraph" w:styleId="Titolo2">
    <w:name w:val="heading 2"/>
    <w:basedOn w:val="Normale"/>
    <w:link w:val="Titolo2Carattere"/>
    <w:uiPriority w:val="9"/>
    <w:qFormat/>
    <w:rsid w:val="008E6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B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6B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E6B3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E6B3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E6B3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CA8"/>
    <w:rPr>
      <w:color w:val="605E5C"/>
      <w:shd w:val="clear" w:color="auto" w:fill="E1DFDD"/>
    </w:rPr>
  </w:style>
  <w:style w:type="paragraph" w:customStyle="1" w:styleId="text-justify">
    <w:name w:val="text-justify"/>
    <w:basedOn w:val="Normale"/>
    <w:rsid w:val="005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-group-item">
    <w:name w:val="list-group-item"/>
    <w:basedOn w:val="Normale"/>
    <w:rsid w:val="005F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B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34"/>
    <w:qFormat/>
    <w:rsid w:val="008B690A"/>
    <w:pPr>
      <w:ind w:left="720"/>
      <w:contextualSpacing/>
    </w:pPr>
  </w:style>
  <w:style w:type="character" w:customStyle="1" w:styleId="custom">
    <w:name w:val="custom"/>
    <w:basedOn w:val="Carpredefinitoparagrafo"/>
    <w:rsid w:val="00113AD2"/>
  </w:style>
  <w:style w:type="paragraph" w:styleId="Intestazione">
    <w:name w:val="header"/>
    <w:basedOn w:val="Normale"/>
    <w:link w:val="IntestazioneCarattere"/>
    <w:uiPriority w:val="99"/>
    <w:unhideWhenUsed/>
    <w:rsid w:val="0034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7EC"/>
  </w:style>
  <w:style w:type="paragraph" w:styleId="Pidipagina">
    <w:name w:val="footer"/>
    <w:basedOn w:val="Normale"/>
    <w:link w:val="PidipaginaCarattere"/>
    <w:uiPriority w:val="99"/>
    <w:unhideWhenUsed/>
    <w:rsid w:val="0034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7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513"/>
  </w:style>
  <w:style w:type="paragraph" w:styleId="Titolo2">
    <w:name w:val="heading 2"/>
    <w:basedOn w:val="Normale"/>
    <w:link w:val="Titolo2Carattere"/>
    <w:uiPriority w:val="9"/>
    <w:qFormat/>
    <w:rsid w:val="008E6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B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6B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E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E6B3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E6B3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E6B3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CA8"/>
    <w:rPr>
      <w:color w:val="605E5C"/>
      <w:shd w:val="clear" w:color="auto" w:fill="E1DFDD"/>
    </w:rPr>
  </w:style>
  <w:style w:type="paragraph" w:customStyle="1" w:styleId="text-justify">
    <w:name w:val="text-justify"/>
    <w:basedOn w:val="Normale"/>
    <w:rsid w:val="005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-group-item">
    <w:name w:val="list-group-item"/>
    <w:basedOn w:val="Normale"/>
    <w:rsid w:val="005F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B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34"/>
    <w:qFormat/>
    <w:rsid w:val="008B690A"/>
    <w:pPr>
      <w:ind w:left="720"/>
      <w:contextualSpacing/>
    </w:pPr>
  </w:style>
  <w:style w:type="character" w:customStyle="1" w:styleId="custom">
    <w:name w:val="custom"/>
    <w:basedOn w:val="Carpredefinitoparagrafo"/>
    <w:rsid w:val="00113AD2"/>
  </w:style>
  <w:style w:type="paragraph" w:styleId="Intestazione">
    <w:name w:val="header"/>
    <w:basedOn w:val="Normale"/>
    <w:link w:val="IntestazioneCarattere"/>
    <w:uiPriority w:val="99"/>
    <w:unhideWhenUsed/>
    <w:rsid w:val="0034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7EC"/>
  </w:style>
  <w:style w:type="paragraph" w:styleId="Pidipagina">
    <w:name w:val="footer"/>
    <w:basedOn w:val="Normale"/>
    <w:link w:val="PidipaginaCarattere"/>
    <w:uiPriority w:val="99"/>
    <w:unhideWhenUsed/>
    <w:rsid w:val="00345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7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ifa.gov.it/content/segnalazioni-reazioni-avver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ifa.gov.it/moduli-segnalazione-reazioni-avver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gifarmaco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0C6C4-18AA-48D5-BC02-09F234A1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Mimma</dc:creator>
  <cp:lastModifiedBy>tommaso</cp:lastModifiedBy>
  <cp:revision>2</cp:revision>
  <cp:lastPrinted>2021-01-08T13:13:00Z</cp:lastPrinted>
  <dcterms:created xsi:type="dcterms:W3CDTF">2021-01-19T07:06:00Z</dcterms:created>
  <dcterms:modified xsi:type="dcterms:W3CDTF">2021-01-19T07:06:00Z</dcterms:modified>
</cp:coreProperties>
</file>